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35D7" w14:textId="07481E46" w:rsidR="00186964" w:rsidRDefault="00186964" w:rsidP="00186964">
      <w:pPr>
        <w:ind w:left="0" w:firstLine="360"/>
        <w:jc w:val="both"/>
      </w:pPr>
      <w:bookmarkStart w:id="0" w:name="_GoBack"/>
      <w:bookmarkEnd w:id="0"/>
      <w:r>
        <w:t xml:space="preserve">Ilmoituksesta voi poistaa kohdat, jotka eivät liity ko. tutkimukseen. </w:t>
      </w:r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7E29F8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1" w:name="Valinta2"/>
    </w:p>
    <w:bookmarkEnd w:id="1"/>
    <w:p w14:paraId="60ECF16D" w14:textId="77777777" w:rsidR="008442C6" w:rsidRPr="00C22BC0" w:rsidRDefault="007E29F8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2B467C5D" w:rsidR="00B30DEA" w:rsidRPr="00C22BC0" w:rsidRDefault="007E29F8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0DE1B723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Y-tunnus 2844561-8</w:t>
      </w:r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C4D2E94" w:rsidR="00985D2A" w:rsidRDefault="007E29F8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7E29F8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7E29F8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laceholderText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2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laceholderText"/>
            </w:rPr>
            <w:t>Kirjoita tekstiä napsauttamalla tai napauttamalla tätä.</w:t>
          </w:r>
        </w:sdtContent>
      </w:sdt>
    </w:p>
    <w:bookmarkEnd w:id="2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77777777" w:rsidR="00E54069" w:rsidRPr="00C22BC0" w:rsidRDefault="007E29F8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512044">
            <w:rPr>
              <w:rStyle w:val="PlaceholderText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EndPr/>
        <w:sdtContent>
          <w:r w:rsidRPr="007364E9">
            <w:rPr>
              <w:rStyle w:val="PlaceholderText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7E29F8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laceholderText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7E29F8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EndPr/>
        <w:sdtContent>
          <w:r w:rsidR="00F85E08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7E29F8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7E29F8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7E29F8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7E29F8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7E29F8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laceholderText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7E29F8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7E29F8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7E29F8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7E29F8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7E29F8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7E29F8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7E29F8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7E29F8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7E29F8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7E29F8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7E29F8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lastRenderedPageBreak/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laceholderText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laceholderText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77777777" w:rsidR="00210CFC" w:rsidRPr="0047156F" w:rsidRDefault="007E29F8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7E29F8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3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3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7E29F8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7E29F8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7E29F8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7E29F8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7E29F8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7E29F8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7E29F8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istParagraph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739C" w14:textId="77777777" w:rsidR="00C62AF6" w:rsidRDefault="00C62AF6" w:rsidP="0076179F">
      <w:r>
        <w:separator/>
      </w:r>
    </w:p>
  </w:endnote>
  <w:endnote w:type="continuationSeparator" w:id="0">
    <w:p w14:paraId="2FCFDD9A" w14:textId="77777777" w:rsidR="00C62AF6" w:rsidRDefault="00C62AF6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Footer"/>
          </w:pPr>
        </w:p>
      </w:tc>
    </w:tr>
  </w:tbl>
  <w:p w14:paraId="2EC34846" w14:textId="77777777" w:rsidR="00895B55" w:rsidRDefault="00895B55" w:rsidP="009D006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FA10" w14:textId="77777777" w:rsidR="00C62AF6" w:rsidRDefault="00C62AF6" w:rsidP="0076179F">
      <w:r>
        <w:separator/>
      </w:r>
    </w:p>
  </w:footnote>
  <w:footnote w:type="continuationSeparator" w:id="0">
    <w:p w14:paraId="791A14DB" w14:textId="77777777" w:rsidR="00C62AF6" w:rsidRDefault="00C62AF6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D8A" w14:textId="77777777" w:rsidR="000351EA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Header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Header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Header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29F8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l"/>
    <w:rsid w:val="00895B55"/>
    <w:pPr>
      <w:numPr>
        <w:numId w:val="1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istParagraph">
    <w:name w:val="List Paragraph"/>
    <w:basedOn w:val="Normal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DefaultParagraphFont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l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D4E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CommentReference">
    <w:name w:val="annotation reference"/>
    <w:basedOn w:val="DefaultParagraphFont"/>
    <w:rsid w:val="000F3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DB"/>
    <w:rPr>
      <w:rFonts w:asciiTheme="minorHAnsi" w:hAnsiTheme="minorHAnsi" w:cs="Calibri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41A"/>
    <w:rPr>
      <w:rFonts w:cs="Times New Roman"/>
      <w:color w:val="808080"/>
    </w:rPr>
  </w:style>
  <w:style w:type="paragraph" w:customStyle="1" w:styleId="0DFBBCDE4704435DA3BD49AC2CED113D">
    <w:name w:val="0DFBBCDE4704435DA3BD49AC2CED113D"/>
    <w:rsid w:val="00B4681A"/>
  </w:style>
  <w:style w:type="paragraph" w:customStyle="1" w:styleId="9AB018DA3246480098E9FF37AB2E9B49">
    <w:name w:val="9AB018DA3246480098E9FF37AB2E9B49"/>
    <w:rsid w:val="00B4681A"/>
  </w:style>
  <w:style w:type="paragraph" w:customStyle="1" w:styleId="84BAD69C8428495B82D45E32644BB6C9">
    <w:name w:val="84BAD69C8428495B82D45E32644BB6C9"/>
    <w:rsid w:val="00B4681A"/>
  </w:style>
  <w:style w:type="paragraph" w:customStyle="1" w:styleId="1C6C22E3644940B7930972D4D222E200">
    <w:name w:val="1C6C22E3644940B7930972D4D222E200"/>
    <w:rsid w:val="00B4681A"/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0A09A8C2E68147D087C6B08CA01BC41F">
    <w:name w:val="0A09A8C2E68147D087C6B08CA01BC41F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0BEABF4F6D7B4E84F7E3E2BAE855C8" ma:contentTypeVersion="2" ma:contentTypeDescription="Luo uusi asiakirja." ma:contentTypeScope="" ma:versionID="54bad92bbbbd7a5d3c5f13fda03d93c5">
  <xsd:schema xmlns:xsd="http://www.w3.org/2001/XMLSchema" xmlns:xs="http://www.w3.org/2001/XMLSchema" xmlns:p="http://schemas.microsoft.com/office/2006/metadata/properties" xmlns:ns2="748b4ecf-d474-4f36-8e2e-5a83604810db" targetNamespace="http://schemas.microsoft.com/office/2006/metadata/properties" ma:root="true" ma:fieldsID="9e7bbf35f9fb484bd79de61103e66e87" ns2:_="">
    <xsd:import namespace="748b4ecf-d474-4f36-8e2e-5a8360481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b4ecf-d474-4f36-8e2e-5a8360481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BFCB2-5C4D-4BAB-A77C-315D5FEA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b4ecf-d474-4f36-8e2e-5a8360481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79F60-ECB0-4CD9-857C-2EBEEAC8BF7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48b4ecf-d474-4f36-8e2e-5a83604810db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A5066-BA15-476D-9F55-0214163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9662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2020-04-03T08:04:00Z</dcterms:created>
  <dcterms:modified xsi:type="dcterms:W3CDTF">2020-04-03T08:04:00Z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0x0101002C0BEABF4F6D7B4E84F7E3E2BAE855C8</vt:lpwstr>
  </property>
</Properties>
</file>